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7DC" w:rsidRPr="00E45E84" w:rsidRDefault="004C37F1" w:rsidP="006477DC">
      <w:pPr>
        <w:pStyle w:val="Default"/>
        <w:rPr>
          <w:rFonts w:ascii="Arial" w:hAnsi="Arial" w:cs="Arial"/>
          <w:b/>
          <w:color w:val="auto"/>
          <w:sz w:val="22"/>
          <w:szCs w:val="22"/>
        </w:rPr>
      </w:pPr>
      <w:r w:rsidRPr="00E45E84">
        <w:rPr>
          <w:rFonts w:ascii="Arial" w:hAnsi="Arial" w:cs="Arial"/>
          <w:b/>
          <w:color w:val="auto"/>
          <w:sz w:val="22"/>
          <w:szCs w:val="22"/>
        </w:rPr>
        <w:t xml:space="preserve">3.3. </w:t>
      </w:r>
      <w:r w:rsidR="0063458E" w:rsidRPr="00E45E84">
        <w:rPr>
          <w:rFonts w:ascii="Arial" w:hAnsi="Arial" w:cs="Arial"/>
          <w:b/>
          <w:color w:val="auto"/>
          <w:sz w:val="22"/>
          <w:szCs w:val="22"/>
        </w:rPr>
        <w:t>Data and Safety M</w:t>
      </w:r>
      <w:r w:rsidR="006477DC" w:rsidRPr="00E45E84">
        <w:rPr>
          <w:rFonts w:ascii="Arial" w:hAnsi="Arial" w:cs="Arial"/>
          <w:b/>
          <w:color w:val="auto"/>
          <w:sz w:val="22"/>
          <w:szCs w:val="22"/>
        </w:rPr>
        <w:t>onitoring Plan</w:t>
      </w:r>
    </w:p>
    <w:p w:rsidR="006477DC" w:rsidRPr="00E45E84" w:rsidRDefault="006477DC" w:rsidP="006477DC">
      <w:pPr>
        <w:pStyle w:val="Default"/>
        <w:rPr>
          <w:rFonts w:ascii="Arial" w:hAnsi="Arial" w:cs="Arial"/>
          <w:color w:val="auto"/>
          <w:sz w:val="22"/>
          <w:szCs w:val="22"/>
        </w:rPr>
      </w:pPr>
    </w:p>
    <w:p w:rsidR="006477DC" w:rsidRPr="00E45E84" w:rsidRDefault="006477DC" w:rsidP="006477DC">
      <w:pPr>
        <w:pStyle w:val="Default"/>
        <w:rPr>
          <w:rFonts w:ascii="Arial" w:hAnsi="Arial" w:cs="Arial"/>
          <w:color w:val="auto"/>
          <w:sz w:val="22"/>
          <w:szCs w:val="22"/>
        </w:rPr>
      </w:pPr>
      <w:r w:rsidRPr="00E45E84">
        <w:rPr>
          <w:rFonts w:ascii="Arial" w:hAnsi="Arial" w:cs="Arial"/>
          <w:color w:val="auto"/>
          <w:sz w:val="22"/>
          <w:szCs w:val="22"/>
        </w:rPr>
        <w:t xml:space="preserve">A “Data and Safety Monitoring Plan” attachment is </w:t>
      </w:r>
      <w:r w:rsidRPr="00E45E84">
        <w:rPr>
          <w:rFonts w:ascii="Arial" w:hAnsi="Arial" w:cs="Arial"/>
          <w:color w:val="auto"/>
          <w:sz w:val="22"/>
          <w:szCs w:val="22"/>
          <w:u w:val="single"/>
        </w:rPr>
        <w:t>required</w:t>
      </w:r>
      <w:r w:rsidRPr="00E45E84">
        <w:rPr>
          <w:rFonts w:ascii="Arial" w:hAnsi="Arial" w:cs="Arial"/>
          <w:color w:val="auto"/>
          <w:sz w:val="22"/>
          <w:szCs w:val="22"/>
        </w:rPr>
        <w:t xml:space="preserve"> if:</w:t>
      </w:r>
    </w:p>
    <w:p w:rsidR="006477DC" w:rsidRPr="00E45E84" w:rsidRDefault="006477DC" w:rsidP="004C37F1">
      <w:pPr>
        <w:pStyle w:val="Default"/>
        <w:ind w:left="720"/>
        <w:rPr>
          <w:rFonts w:ascii="Arial" w:hAnsi="Arial" w:cs="Arial"/>
          <w:color w:val="auto"/>
          <w:sz w:val="22"/>
          <w:szCs w:val="22"/>
        </w:rPr>
      </w:pPr>
      <w:r w:rsidRPr="00E45E84">
        <w:rPr>
          <w:rFonts w:ascii="Arial" w:hAnsi="Arial" w:cs="Arial"/>
          <w:color w:val="auto"/>
          <w:sz w:val="22"/>
          <w:szCs w:val="22"/>
        </w:rPr>
        <w:t xml:space="preserve">You answered </w:t>
      </w:r>
      <w:r w:rsidRPr="00E45E84">
        <w:rPr>
          <w:rFonts w:ascii="Arial" w:hAnsi="Arial" w:cs="Arial"/>
          <w:b/>
          <w:color w:val="auto"/>
          <w:sz w:val="22"/>
          <w:szCs w:val="22"/>
        </w:rPr>
        <w:t>“Yes”</w:t>
      </w:r>
      <w:r w:rsidRPr="00E45E84">
        <w:rPr>
          <w:rFonts w:ascii="Arial" w:hAnsi="Arial" w:cs="Arial"/>
          <w:color w:val="auto"/>
          <w:sz w:val="22"/>
          <w:szCs w:val="22"/>
        </w:rPr>
        <w:t xml:space="preserve"> to all the questions </w:t>
      </w:r>
      <w:r w:rsidR="004C37F1" w:rsidRPr="00E45E84">
        <w:rPr>
          <w:rFonts w:ascii="Arial" w:hAnsi="Arial" w:cs="Arial"/>
          <w:color w:val="auto"/>
          <w:sz w:val="22"/>
          <w:szCs w:val="22"/>
        </w:rPr>
        <w:t>in 1.4. "Clinical Trial Questionnaire" (i.e., your study is a clinical trial) on the Study Record: PHS Human Subjects and Clinical Trials Information Form</w:t>
      </w:r>
    </w:p>
    <w:p w:rsidR="006477DC" w:rsidRPr="00E45E84" w:rsidRDefault="006477DC" w:rsidP="006477DC">
      <w:pPr>
        <w:pStyle w:val="Default"/>
        <w:rPr>
          <w:rFonts w:ascii="Arial" w:hAnsi="Arial" w:cs="Arial"/>
          <w:color w:val="auto"/>
          <w:sz w:val="22"/>
          <w:szCs w:val="22"/>
        </w:rPr>
      </w:pPr>
    </w:p>
    <w:p w:rsidR="006477DC" w:rsidRPr="00E45E84" w:rsidRDefault="006477DC" w:rsidP="006477DC">
      <w:pPr>
        <w:pStyle w:val="Default"/>
        <w:rPr>
          <w:rFonts w:ascii="Arial" w:hAnsi="Arial" w:cs="Arial"/>
          <w:color w:val="auto"/>
          <w:sz w:val="22"/>
          <w:szCs w:val="22"/>
        </w:rPr>
      </w:pPr>
      <w:r w:rsidRPr="00E45E84">
        <w:rPr>
          <w:rFonts w:ascii="Arial" w:hAnsi="Arial" w:cs="Arial"/>
          <w:color w:val="auto"/>
          <w:sz w:val="22"/>
          <w:szCs w:val="22"/>
        </w:rPr>
        <w:t xml:space="preserve">The “Data and Safety Monitoring Plan” attachment is </w:t>
      </w:r>
      <w:r w:rsidRPr="00E45E84">
        <w:rPr>
          <w:rFonts w:ascii="Arial" w:hAnsi="Arial" w:cs="Arial"/>
          <w:color w:val="auto"/>
          <w:sz w:val="22"/>
          <w:szCs w:val="22"/>
          <w:u w:val="single"/>
        </w:rPr>
        <w:t>optional</w:t>
      </w:r>
      <w:r w:rsidRPr="00E45E84">
        <w:rPr>
          <w:rFonts w:ascii="Arial" w:hAnsi="Arial" w:cs="Arial"/>
          <w:color w:val="auto"/>
          <w:sz w:val="22"/>
          <w:szCs w:val="22"/>
        </w:rPr>
        <w:t xml:space="preserve"> for all other human </w:t>
      </w:r>
      <w:proofErr w:type="gramStart"/>
      <w:r w:rsidRPr="00E45E84">
        <w:rPr>
          <w:rFonts w:ascii="Arial" w:hAnsi="Arial" w:cs="Arial"/>
          <w:color w:val="auto"/>
          <w:sz w:val="22"/>
          <w:szCs w:val="22"/>
        </w:rPr>
        <w:t>subjects</w:t>
      </w:r>
      <w:proofErr w:type="gramEnd"/>
      <w:r w:rsidRPr="00E45E84">
        <w:rPr>
          <w:rFonts w:ascii="Arial" w:hAnsi="Arial" w:cs="Arial"/>
          <w:color w:val="auto"/>
          <w:sz w:val="22"/>
          <w:szCs w:val="22"/>
        </w:rPr>
        <w:t xml:space="preserve"> research. Your study, although it is not a clinical trial, may have significant risks to participants, and it may be appropriate to include a data and </w:t>
      </w:r>
      <w:proofErr w:type="gramStart"/>
      <w:r w:rsidRPr="00E45E84">
        <w:rPr>
          <w:rFonts w:ascii="Arial" w:hAnsi="Arial" w:cs="Arial"/>
          <w:color w:val="auto"/>
          <w:sz w:val="22"/>
          <w:szCs w:val="22"/>
        </w:rPr>
        <w:t>safety monitoring</w:t>
      </w:r>
      <w:proofErr w:type="gramEnd"/>
      <w:r w:rsidRPr="00E45E84">
        <w:rPr>
          <w:rFonts w:ascii="Arial" w:hAnsi="Arial" w:cs="Arial"/>
          <w:color w:val="auto"/>
          <w:sz w:val="22"/>
          <w:szCs w:val="22"/>
        </w:rPr>
        <w:t xml:space="preserve"> plan. If you choose to include a data and </w:t>
      </w:r>
      <w:proofErr w:type="gramStart"/>
      <w:r w:rsidRPr="00E45E84">
        <w:rPr>
          <w:rFonts w:ascii="Arial" w:hAnsi="Arial" w:cs="Arial"/>
          <w:color w:val="auto"/>
          <w:sz w:val="22"/>
          <w:szCs w:val="22"/>
        </w:rPr>
        <w:t>safety monitoring</w:t>
      </w:r>
      <w:proofErr w:type="gramEnd"/>
      <w:r w:rsidRPr="00E45E84">
        <w:rPr>
          <w:rFonts w:ascii="Arial" w:hAnsi="Arial" w:cs="Arial"/>
          <w:color w:val="auto"/>
          <w:sz w:val="22"/>
          <w:szCs w:val="22"/>
        </w:rPr>
        <w:t xml:space="preserve"> plan, you may follow the content criteria listed below, as appropriate.</w:t>
      </w:r>
    </w:p>
    <w:p w:rsidR="006477DC" w:rsidRPr="00E45E84" w:rsidRDefault="006477DC" w:rsidP="006477DC">
      <w:pPr>
        <w:pStyle w:val="Default"/>
        <w:rPr>
          <w:rFonts w:ascii="Arial" w:hAnsi="Arial" w:cs="Arial"/>
          <w:color w:val="auto"/>
          <w:sz w:val="22"/>
          <w:szCs w:val="22"/>
        </w:rPr>
      </w:pPr>
    </w:p>
    <w:p w:rsidR="006477DC" w:rsidRPr="00E45E84" w:rsidRDefault="006477DC" w:rsidP="006477DC">
      <w:pPr>
        <w:pStyle w:val="Default"/>
        <w:rPr>
          <w:rFonts w:ascii="Arial" w:hAnsi="Arial" w:cs="Arial"/>
          <w:b/>
          <w:color w:val="auto"/>
          <w:sz w:val="22"/>
          <w:szCs w:val="22"/>
        </w:rPr>
      </w:pPr>
      <w:r w:rsidRPr="00E45E84">
        <w:rPr>
          <w:rFonts w:ascii="Arial" w:hAnsi="Arial" w:cs="Arial"/>
          <w:b/>
          <w:color w:val="auto"/>
          <w:sz w:val="22"/>
          <w:szCs w:val="22"/>
        </w:rPr>
        <w:t>Content:</w:t>
      </w:r>
    </w:p>
    <w:p w:rsidR="006477DC" w:rsidRPr="00E45E84" w:rsidRDefault="006477DC" w:rsidP="006477DC">
      <w:pPr>
        <w:pStyle w:val="Default"/>
        <w:rPr>
          <w:rFonts w:ascii="Arial" w:hAnsi="Arial" w:cs="Arial"/>
          <w:color w:val="auto"/>
          <w:sz w:val="22"/>
          <w:szCs w:val="22"/>
        </w:rPr>
      </w:pPr>
      <w:r w:rsidRPr="00E45E84">
        <w:rPr>
          <w:rFonts w:ascii="Arial" w:hAnsi="Arial" w:cs="Arial"/>
          <w:color w:val="auto"/>
          <w:sz w:val="22"/>
          <w:szCs w:val="22"/>
        </w:rPr>
        <w:t xml:space="preserve">For any proposed clinical trial, NIH requires a data and safety monitoring plan (DSMP) that is commensurate with the risks of the trial, its size, and its complexity. Provide a description of the DSMP, including: </w:t>
      </w:r>
    </w:p>
    <w:p w:rsidR="006477DC" w:rsidRPr="00E45E84" w:rsidRDefault="006477DC" w:rsidP="004C37F1">
      <w:pPr>
        <w:pStyle w:val="Default"/>
        <w:rPr>
          <w:rFonts w:ascii="Arial" w:hAnsi="Arial" w:cs="Arial"/>
          <w:color w:val="auto"/>
          <w:sz w:val="22"/>
          <w:szCs w:val="22"/>
        </w:rPr>
      </w:pPr>
    </w:p>
    <w:p w:rsidR="004C37F1" w:rsidRPr="00E45E84" w:rsidRDefault="004C37F1" w:rsidP="004C37F1">
      <w:pPr>
        <w:pStyle w:val="Default"/>
        <w:numPr>
          <w:ilvl w:val="0"/>
          <w:numId w:val="23"/>
        </w:numPr>
        <w:rPr>
          <w:rFonts w:ascii="Arial" w:hAnsi="Arial" w:cs="Arial"/>
          <w:color w:val="auto"/>
          <w:sz w:val="22"/>
          <w:szCs w:val="22"/>
        </w:rPr>
      </w:pPr>
      <w:proofErr w:type="gramStart"/>
      <w:r w:rsidRPr="00E45E84">
        <w:rPr>
          <w:rFonts w:ascii="Arial" w:hAnsi="Arial" w:cs="Arial"/>
          <w:color w:val="auto"/>
          <w:sz w:val="22"/>
          <w:szCs w:val="22"/>
        </w:rPr>
        <w:t>Indicate how many people and what type of entity will provide the monitoring.</w:t>
      </w:r>
      <w:proofErr w:type="gramEnd"/>
      <w:r w:rsidRPr="00E45E84">
        <w:rPr>
          <w:rFonts w:ascii="Arial" w:hAnsi="Arial" w:cs="Arial"/>
          <w:color w:val="auto"/>
          <w:sz w:val="22"/>
          <w:szCs w:val="22"/>
        </w:rPr>
        <w:t xml:space="preserve"> Include such details as whether a single person, multiple people, or a data safety monitoring board will provide monitoring. Also indicate what type of entity will provide the monitoring (e.g., PD/PI, Independent Safety Monitor/Designated Medical Monitor, Independent Monitoring Committee, Safety Monitoring Committee, Data and Safety Monitoring Board, etc.).</w:t>
      </w:r>
    </w:p>
    <w:p w:rsidR="004C37F1" w:rsidRPr="00E45E84" w:rsidRDefault="004C37F1" w:rsidP="004C37F1">
      <w:pPr>
        <w:pStyle w:val="Default"/>
        <w:numPr>
          <w:ilvl w:val="0"/>
          <w:numId w:val="23"/>
        </w:numPr>
        <w:rPr>
          <w:rFonts w:ascii="Arial" w:hAnsi="Arial" w:cs="Arial"/>
          <w:color w:val="auto"/>
          <w:sz w:val="22"/>
          <w:szCs w:val="22"/>
        </w:rPr>
      </w:pPr>
      <w:r w:rsidRPr="00E45E84">
        <w:rPr>
          <w:rFonts w:ascii="Arial" w:hAnsi="Arial" w:cs="Arial"/>
          <w:color w:val="auto"/>
          <w:sz w:val="22"/>
          <w:szCs w:val="22"/>
        </w:rPr>
        <w:t xml:space="preserve">The overall framework for safety monitoring and what information </w:t>
      </w:r>
      <w:proofErr w:type="gramStart"/>
      <w:r w:rsidRPr="00E45E84">
        <w:rPr>
          <w:rFonts w:ascii="Arial" w:hAnsi="Arial" w:cs="Arial"/>
          <w:color w:val="auto"/>
          <w:sz w:val="22"/>
          <w:szCs w:val="22"/>
        </w:rPr>
        <w:t>will be monitored</w:t>
      </w:r>
      <w:proofErr w:type="gramEnd"/>
      <w:r w:rsidRPr="00E45E84">
        <w:rPr>
          <w:rFonts w:ascii="Arial" w:hAnsi="Arial" w:cs="Arial"/>
          <w:color w:val="auto"/>
          <w:sz w:val="22"/>
          <w:szCs w:val="22"/>
        </w:rPr>
        <w:t>.</w:t>
      </w:r>
    </w:p>
    <w:p w:rsidR="004C37F1" w:rsidRPr="00E45E84" w:rsidRDefault="004C37F1" w:rsidP="004C37F1">
      <w:pPr>
        <w:pStyle w:val="Default"/>
        <w:numPr>
          <w:ilvl w:val="0"/>
          <w:numId w:val="23"/>
        </w:numPr>
        <w:rPr>
          <w:rFonts w:ascii="Arial" w:hAnsi="Arial" w:cs="Arial"/>
          <w:color w:val="auto"/>
          <w:sz w:val="22"/>
          <w:szCs w:val="22"/>
        </w:rPr>
      </w:pPr>
      <w:r w:rsidRPr="00E45E84">
        <w:rPr>
          <w:rFonts w:ascii="Arial" w:hAnsi="Arial" w:cs="Arial"/>
          <w:color w:val="auto"/>
          <w:sz w:val="22"/>
          <w:szCs w:val="22"/>
        </w:rPr>
        <w:t>The frequency of monitoring, including any plans for interim analysis and stopping rules (if applicable).</w:t>
      </w:r>
    </w:p>
    <w:p w:rsidR="004C37F1" w:rsidRPr="00E45E84" w:rsidRDefault="004C37F1" w:rsidP="004C37F1">
      <w:pPr>
        <w:pStyle w:val="Default"/>
        <w:numPr>
          <w:ilvl w:val="0"/>
          <w:numId w:val="23"/>
        </w:numPr>
        <w:rPr>
          <w:rFonts w:ascii="Arial" w:hAnsi="Arial" w:cs="Arial"/>
          <w:color w:val="auto"/>
          <w:sz w:val="22"/>
          <w:szCs w:val="22"/>
        </w:rPr>
      </w:pPr>
      <w:r w:rsidRPr="00E45E84">
        <w:rPr>
          <w:rFonts w:ascii="Arial" w:hAnsi="Arial" w:cs="Arial"/>
          <w:color w:val="auto"/>
          <w:sz w:val="22"/>
          <w:szCs w:val="22"/>
        </w:rPr>
        <w:t xml:space="preserve">The process by which </w:t>
      </w:r>
      <w:hyperlink r:id="rId8" w:history="1">
        <w:r w:rsidRPr="00E45E84">
          <w:rPr>
            <w:rStyle w:val="Hyperlink"/>
            <w:rFonts w:ascii="Arial" w:hAnsi="Arial" w:cs="Arial"/>
            <w:sz w:val="22"/>
            <w:szCs w:val="22"/>
          </w:rPr>
          <w:t>Adverse Events (AEs)</w:t>
        </w:r>
      </w:hyperlink>
      <w:r w:rsidRPr="00E45E84">
        <w:rPr>
          <w:rFonts w:ascii="Arial" w:hAnsi="Arial" w:cs="Arial"/>
          <w:color w:val="auto"/>
          <w:sz w:val="22"/>
          <w:szCs w:val="22"/>
        </w:rPr>
        <w:t>, inclu</w:t>
      </w:r>
      <w:bookmarkStart w:id="0" w:name="_GoBack"/>
      <w:bookmarkEnd w:id="0"/>
      <w:r w:rsidRPr="00E45E84">
        <w:rPr>
          <w:rFonts w:ascii="Arial" w:hAnsi="Arial" w:cs="Arial"/>
          <w:color w:val="auto"/>
          <w:sz w:val="22"/>
          <w:szCs w:val="22"/>
        </w:rPr>
        <w:t xml:space="preserve">ding </w:t>
      </w:r>
      <w:hyperlink r:id="rId9" w:history="1">
        <w:r w:rsidRPr="00E45E84">
          <w:rPr>
            <w:rStyle w:val="Hyperlink"/>
            <w:rFonts w:ascii="Arial" w:hAnsi="Arial" w:cs="Arial"/>
            <w:sz w:val="22"/>
            <w:szCs w:val="22"/>
          </w:rPr>
          <w:t>Serious Adverse Events (SAEs)</w:t>
        </w:r>
      </w:hyperlink>
      <w:r w:rsidRPr="00E45E84">
        <w:rPr>
          <w:rFonts w:ascii="Arial" w:hAnsi="Arial" w:cs="Arial"/>
          <w:color w:val="auto"/>
          <w:sz w:val="22"/>
          <w:szCs w:val="22"/>
        </w:rPr>
        <w:t xml:space="preserve"> such as deaths, hospitalizations, and life threatening events and Unanticipated Problems (UPs), will be managed and reported, as required, to the IRB, the person or group responsible for monitoring, the awarding IC and the </w:t>
      </w:r>
      <w:hyperlink r:id="rId10" w:history="1">
        <w:r w:rsidRPr="00E45E84">
          <w:rPr>
            <w:rStyle w:val="Hyperlink"/>
            <w:rFonts w:ascii="Arial" w:hAnsi="Arial" w:cs="Arial"/>
            <w:sz w:val="22"/>
            <w:szCs w:val="22"/>
          </w:rPr>
          <w:t>Food and Drug Administration</w:t>
        </w:r>
      </w:hyperlink>
      <w:r w:rsidRPr="00E45E84">
        <w:rPr>
          <w:rFonts w:ascii="Arial" w:hAnsi="Arial" w:cs="Arial"/>
          <w:color w:val="auto"/>
          <w:sz w:val="22"/>
          <w:szCs w:val="22"/>
        </w:rPr>
        <w:t>.</w:t>
      </w:r>
    </w:p>
    <w:p w:rsidR="004C37F1" w:rsidRPr="00E45E84" w:rsidRDefault="004C37F1" w:rsidP="004C37F1">
      <w:pPr>
        <w:pStyle w:val="Default"/>
        <w:numPr>
          <w:ilvl w:val="0"/>
          <w:numId w:val="23"/>
        </w:numPr>
        <w:rPr>
          <w:rFonts w:ascii="Arial" w:hAnsi="Arial" w:cs="Arial"/>
          <w:color w:val="auto"/>
          <w:sz w:val="22"/>
          <w:szCs w:val="22"/>
        </w:rPr>
      </w:pPr>
      <w:r w:rsidRPr="00E45E84">
        <w:rPr>
          <w:rFonts w:ascii="Arial" w:hAnsi="Arial" w:cs="Arial"/>
          <w:color w:val="auto"/>
          <w:sz w:val="22"/>
          <w:szCs w:val="22"/>
        </w:rPr>
        <w:t>The individual(s) or group that will be responsible for trial monitoring and advising the appointing entity. Because the DSMP will depend on potential risks, complexity, and the nature of the trial, a number of options for monitoring are possible. These include, but are not limited to, monitoring by a:</w:t>
      </w:r>
    </w:p>
    <w:p w:rsidR="004C37F1" w:rsidRPr="00E45E84" w:rsidRDefault="004C37F1" w:rsidP="004C37F1">
      <w:pPr>
        <w:pStyle w:val="Default"/>
        <w:numPr>
          <w:ilvl w:val="0"/>
          <w:numId w:val="24"/>
        </w:numPr>
        <w:ind w:left="1080"/>
        <w:rPr>
          <w:rFonts w:ascii="Arial" w:hAnsi="Arial" w:cs="Arial"/>
          <w:color w:val="auto"/>
          <w:sz w:val="22"/>
          <w:szCs w:val="22"/>
        </w:rPr>
      </w:pPr>
      <w:r w:rsidRPr="00E45E84">
        <w:rPr>
          <w:rFonts w:ascii="Arial" w:hAnsi="Arial" w:cs="Arial"/>
          <w:color w:val="auto"/>
          <w:sz w:val="22"/>
          <w:szCs w:val="22"/>
        </w:rPr>
        <w:t xml:space="preserve">PD/PI: While the PD/PI must ensure that the trial </w:t>
      </w:r>
      <w:proofErr w:type="gramStart"/>
      <w:r w:rsidRPr="00E45E84">
        <w:rPr>
          <w:rFonts w:ascii="Arial" w:hAnsi="Arial" w:cs="Arial"/>
          <w:color w:val="auto"/>
          <w:sz w:val="22"/>
          <w:szCs w:val="22"/>
        </w:rPr>
        <w:t>is conducted</w:t>
      </w:r>
      <w:proofErr w:type="gramEnd"/>
      <w:r w:rsidRPr="00E45E84">
        <w:rPr>
          <w:rFonts w:ascii="Arial" w:hAnsi="Arial" w:cs="Arial"/>
          <w:color w:val="auto"/>
          <w:sz w:val="22"/>
          <w:szCs w:val="22"/>
        </w:rPr>
        <w:t xml:space="preserve"> according to the approved protocol, in some cases (e.g., low risk trials, not blinded), it may be acceptable for the PD/PI to also be responsi</w:t>
      </w:r>
      <w:r w:rsidRPr="00E45E84">
        <w:rPr>
          <w:rFonts w:ascii="Arial" w:hAnsi="Arial" w:cs="Arial"/>
          <w:color w:val="auto"/>
          <w:sz w:val="22"/>
          <w:szCs w:val="22"/>
        </w:rPr>
        <w:t>ble for carrying out the DSMP.</w:t>
      </w:r>
    </w:p>
    <w:p w:rsidR="004C37F1" w:rsidRPr="00E45E84" w:rsidRDefault="004C37F1" w:rsidP="004C37F1">
      <w:pPr>
        <w:pStyle w:val="Default"/>
        <w:numPr>
          <w:ilvl w:val="0"/>
          <w:numId w:val="24"/>
        </w:numPr>
        <w:ind w:left="1080"/>
        <w:rPr>
          <w:rFonts w:ascii="Arial" w:hAnsi="Arial" w:cs="Arial"/>
          <w:color w:val="auto"/>
          <w:sz w:val="22"/>
          <w:szCs w:val="22"/>
        </w:rPr>
      </w:pPr>
      <w:r w:rsidRPr="00E45E84">
        <w:rPr>
          <w:rFonts w:ascii="Arial" w:hAnsi="Arial" w:cs="Arial"/>
          <w:color w:val="auto"/>
          <w:sz w:val="22"/>
          <w:szCs w:val="22"/>
        </w:rPr>
        <w:t>Independent safety monitor/designated medical monitor: a physician or other expert who is independent of the study.</w:t>
      </w:r>
    </w:p>
    <w:p w:rsidR="004C37F1" w:rsidRPr="00E45E84" w:rsidRDefault="004C37F1" w:rsidP="004C37F1">
      <w:pPr>
        <w:pStyle w:val="Default"/>
        <w:numPr>
          <w:ilvl w:val="0"/>
          <w:numId w:val="24"/>
        </w:numPr>
        <w:ind w:left="1080"/>
        <w:rPr>
          <w:rFonts w:ascii="Arial" w:hAnsi="Arial" w:cs="Arial"/>
          <w:color w:val="auto"/>
          <w:sz w:val="22"/>
          <w:szCs w:val="22"/>
        </w:rPr>
      </w:pPr>
      <w:r w:rsidRPr="00E45E84">
        <w:rPr>
          <w:rFonts w:ascii="Arial" w:hAnsi="Arial" w:cs="Arial"/>
          <w:color w:val="auto"/>
          <w:sz w:val="22"/>
          <w:szCs w:val="22"/>
        </w:rPr>
        <w:t>Independent Monitoring Committee or Safety Monitoring Committee: a small group of independent experts.</w:t>
      </w:r>
    </w:p>
    <w:p w:rsidR="006477DC" w:rsidRPr="00E45E84" w:rsidRDefault="004C37F1" w:rsidP="004C37F1">
      <w:pPr>
        <w:pStyle w:val="Default"/>
        <w:numPr>
          <w:ilvl w:val="0"/>
          <w:numId w:val="24"/>
        </w:numPr>
        <w:ind w:left="1080"/>
        <w:rPr>
          <w:rFonts w:ascii="Arial" w:hAnsi="Arial" w:cs="Arial"/>
          <w:color w:val="auto"/>
          <w:sz w:val="22"/>
          <w:szCs w:val="22"/>
        </w:rPr>
      </w:pPr>
      <w:hyperlink r:id="rId11" w:anchor="DataandSafetyMonitoringBoardDSMB" w:history="1">
        <w:r w:rsidRPr="00E45E84">
          <w:rPr>
            <w:rStyle w:val="Hyperlink"/>
            <w:rFonts w:ascii="Arial" w:hAnsi="Arial" w:cs="Arial"/>
            <w:sz w:val="22"/>
            <w:szCs w:val="22"/>
          </w:rPr>
          <w:t>Data and Safety Monitoring Board (DSMB)</w:t>
        </w:r>
      </w:hyperlink>
      <w:r w:rsidRPr="00E45E84">
        <w:rPr>
          <w:rFonts w:ascii="Arial" w:hAnsi="Arial" w:cs="Arial"/>
          <w:color w:val="auto"/>
          <w:sz w:val="22"/>
          <w:szCs w:val="22"/>
        </w:rPr>
        <w:t xml:space="preserve">: a formal independent board of experts including investigators and biostatisticians. NIH requires the establishment of DSMBs for multi-site clinical trials involving interventions that entail potential risk to the participants, and generally, for all Phase III clinical trials, although Phase I and Phase II clinical trials </w:t>
      </w:r>
      <w:proofErr w:type="gramStart"/>
      <w:r w:rsidRPr="00E45E84">
        <w:rPr>
          <w:rFonts w:ascii="Arial" w:hAnsi="Arial" w:cs="Arial"/>
          <w:color w:val="auto"/>
          <w:sz w:val="22"/>
          <w:szCs w:val="22"/>
        </w:rPr>
        <w:t>may also</w:t>
      </w:r>
      <w:proofErr w:type="gramEnd"/>
      <w:r w:rsidRPr="00E45E84">
        <w:rPr>
          <w:rFonts w:ascii="Arial" w:hAnsi="Arial" w:cs="Arial"/>
          <w:color w:val="auto"/>
          <w:sz w:val="22"/>
          <w:szCs w:val="22"/>
        </w:rPr>
        <w:t xml:space="preserve"> need DSMBs. If a DSMB is used, please describe the general composition of the Board without naming specific individuals.</w:t>
      </w:r>
    </w:p>
    <w:sectPr w:rsidR="006477DC" w:rsidRPr="00E45E84" w:rsidSect="006B7D25">
      <w:headerReference w:type="default" r:id="rId12"/>
      <w:footerReference w:type="default" r:id="rId13"/>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B00" w:rsidRDefault="00310B00" w:rsidP="00310B00">
      <w:pPr>
        <w:spacing w:after="0" w:line="240" w:lineRule="auto"/>
      </w:pPr>
      <w:r>
        <w:separator/>
      </w:r>
    </w:p>
  </w:endnote>
  <w:endnote w:type="continuationSeparator" w:id="0">
    <w:p w:rsidR="00310B00" w:rsidRDefault="00310B00" w:rsidP="0031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36" w:rsidRPr="00BE02D1" w:rsidRDefault="00167436" w:rsidP="00167436">
    <w:pPr>
      <w:pStyle w:val="Footer"/>
      <w:pBdr>
        <w:bottom w:val="single" w:sz="12" w:space="1" w:color="auto"/>
      </w:pBdr>
      <w:tabs>
        <w:tab w:val="left" w:pos="3930"/>
      </w:tabs>
      <w:rPr>
        <w:rFonts w:ascii="Arial" w:hAnsi="Arial" w:cs="Arial"/>
      </w:rPr>
    </w:pPr>
  </w:p>
  <w:p w:rsidR="00310B00" w:rsidRPr="00D53786" w:rsidRDefault="006477DC" w:rsidP="00BE02D1">
    <w:pPr>
      <w:pStyle w:val="Default"/>
      <w:rPr>
        <w:rFonts w:ascii="Arial" w:hAnsi="Arial" w:cs="Arial"/>
        <w:b/>
        <w:bCs/>
        <w:color w:val="auto"/>
        <w:sz w:val="22"/>
        <w:szCs w:val="22"/>
      </w:rPr>
    </w:pPr>
    <w:r>
      <w:rPr>
        <w:rFonts w:ascii="Arial" w:hAnsi="Arial" w:cs="Arial"/>
        <w:bCs/>
        <w:color w:val="auto"/>
        <w:sz w:val="22"/>
        <w:szCs w:val="22"/>
      </w:rPr>
      <w:t>Data Safety and Monitoring Plan</w:t>
    </w:r>
    <w:r w:rsidR="006A6C33">
      <w:rPr>
        <w:rFonts w:ascii="Arial" w:hAnsi="Arial" w:cs="Arial"/>
        <w:bCs/>
        <w:color w:val="auto"/>
        <w:sz w:val="22"/>
        <w:szCs w:val="22"/>
      </w:rPr>
      <w:tab/>
    </w:r>
    <w:r w:rsidR="006A6C33">
      <w:rPr>
        <w:rFonts w:ascii="Arial" w:hAnsi="Arial" w:cs="Arial"/>
        <w:bCs/>
        <w:color w:val="auto"/>
        <w:sz w:val="22"/>
        <w:szCs w:val="22"/>
      </w:rPr>
      <w:tab/>
    </w:r>
    <w:r w:rsidR="00310B00"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310B00" w:rsidRPr="00BE02D1">
      <w:rPr>
        <w:rFonts w:ascii="Arial" w:hAnsi="Arial" w:cs="Arial"/>
        <w:sz w:val="22"/>
        <w:szCs w:val="22"/>
      </w:rPr>
      <w:tab/>
    </w:r>
    <w:r w:rsidR="00E717F0" w:rsidRPr="00BE02D1">
      <w:rPr>
        <w:rFonts w:ascii="Arial" w:hAnsi="Arial" w:cs="Arial"/>
        <w:sz w:val="22"/>
        <w:szCs w:val="22"/>
      </w:rPr>
      <w:t xml:space="preserve">Page </w:t>
    </w:r>
    <w:sdt>
      <w:sdtPr>
        <w:rPr>
          <w:rFonts w:ascii="Arial" w:hAnsi="Arial" w:cs="Arial"/>
          <w:sz w:val="22"/>
          <w:szCs w:val="22"/>
        </w:rPr>
        <w:id w:val="446978705"/>
        <w:docPartObj>
          <w:docPartGallery w:val="Page Numbers (Bottom of Page)"/>
          <w:docPartUnique/>
        </w:docPartObj>
      </w:sdtPr>
      <w:sdtEndPr>
        <w:rPr>
          <w:noProof/>
        </w:rPr>
      </w:sdtEndPr>
      <w:sdtContent>
        <w:r w:rsidR="00310B00" w:rsidRPr="00BE02D1">
          <w:rPr>
            <w:rFonts w:ascii="Arial" w:hAnsi="Arial" w:cs="Arial"/>
            <w:sz w:val="22"/>
            <w:szCs w:val="22"/>
          </w:rPr>
          <w:fldChar w:fldCharType="begin"/>
        </w:r>
        <w:r w:rsidR="00310B00" w:rsidRPr="00BE02D1">
          <w:rPr>
            <w:rFonts w:ascii="Arial" w:hAnsi="Arial" w:cs="Arial"/>
            <w:sz w:val="22"/>
            <w:szCs w:val="22"/>
          </w:rPr>
          <w:instrText xml:space="preserve"> PAGE   \* MERGEFORMAT </w:instrText>
        </w:r>
        <w:r w:rsidR="00310B00" w:rsidRPr="00BE02D1">
          <w:rPr>
            <w:rFonts w:ascii="Arial" w:hAnsi="Arial" w:cs="Arial"/>
            <w:sz w:val="22"/>
            <w:szCs w:val="22"/>
          </w:rPr>
          <w:fldChar w:fldCharType="separate"/>
        </w:r>
        <w:r w:rsidR="00E45E84">
          <w:rPr>
            <w:rFonts w:ascii="Arial" w:hAnsi="Arial" w:cs="Arial"/>
            <w:noProof/>
            <w:sz w:val="22"/>
            <w:szCs w:val="22"/>
          </w:rPr>
          <w:t>1</w:t>
        </w:r>
        <w:r w:rsidR="00310B00" w:rsidRPr="00BE02D1">
          <w:rPr>
            <w:rFonts w:ascii="Arial" w:hAnsi="Arial" w:cs="Arial"/>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B00" w:rsidRDefault="00310B00" w:rsidP="00310B00">
      <w:pPr>
        <w:spacing w:after="0" w:line="240" w:lineRule="auto"/>
      </w:pPr>
      <w:r>
        <w:separator/>
      </w:r>
    </w:p>
  </w:footnote>
  <w:footnote w:type="continuationSeparator" w:id="0">
    <w:p w:rsidR="00310B00" w:rsidRDefault="00310B00" w:rsidP="00310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00" w:rsidRPr="00E717F0" w:rsidRDefault="00310B00" w:rsidP="00BE02D1">
    <w:pPr>
      <w:pStyle w:val="Header"/>
      <w:pBdr>
        <w:bottom w:val="single" w:sz="12" w:space="1" w:color="auto"/>
      </w:pBdr>
      <w:tabs>
        <w:tab w:val="clear" w:pos="4680"/>
        <w:tab w:val="clear" w:pos="9360"/>
        <w:tab w:val="left" w:pos="4152"/>
      </w:tabs>
      <w:rPr>
        <w:rFonts w:ascii="Arial" w:hAnsi="Arial" w:cs="Arial"/>
      </w:rPr>
    </w:pPr>
    <w:r w:rsidRPr="00E717F0">
      <w:rPr>
        <w:rFonts w:ascii="Arial" w:hAnsi="Arial" w:cs="Arial"/>
      </w:rPr>
      <w:t>Principal Investigator:</w:t>
    </w:r>
    <w:r w:rsidR="00606B43">
      <w:rPr>
        <w:rFonts w:ascii="Arial" w:hAnsi="Arial" w:cs="Arial"/>
      </w:rPr>
      <w:t xml:space="preserve"> (</w:t>
    </w:r>
    <w:r w:rsidR="00606B43" w:rsidRPr="00606B43">
      <w:rPr>
        <w:rFonts w:ascii="Arial" w:hAnsi="Arial" w:cs="Arial"/>
        <w:i/>
      </w:rPr>
      <w:t>Last, First</w:t>
    </w:r>
    <w:r w:rsidR="00606B43">
      <w:rPr>
        <w:rFonts w:ascii="Arial" w:hAnsi="Arial" w:cs="Arial"/>
      </w:rPr>
      <w:t>)</w:t>
    </w:r>
    <w:r w:rsidR="00BE02D1">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EF0"/>
    <w:multiLevelType w:val="hybridMultilevel"/>
    <w:tmpl w:val="D9F6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2566B"/>
    <w:multiLevelType w:val="hybridMultilevel"/>
    <w:tmpl w:val="4260A914"/>
    <w:lvl w:ilvl="0" w:tplc="D902DA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76687"/>
    <w:multiLevelType w:val="hybridMultilevel"/>
    <w:tmpl w:val="14507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A20CB"/>
    <w:multiLevelType w:val="hybridMultilevel"/>
    <w:tmpl w:val="90A2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F0E6C"/>
    <w:multiLevelType w:val="hybridMultilevel"/>
    <w:tmpl w:val="CD10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C556F"/>
    <w:multiLevelType w:val="hybridMultilevel"/>
    <w:tmpl w:val="72BE4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1963DB"/>
    <w:multiLevelType w:val="hybridMultilevel"/>
    <w:tmpl w:val="0772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05699"/>
    <w:multiLevelType w:val="hybridMultilevel"/>
    <w:tmpl w:val="C2BEAE56"/>
    <w:lvl w:ilvl="0" w:tplc="D902D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46FE4"/>
    <w:multiLevelType w:val="hybridMultilevel"/>
    <w:tmpl w:val="87B23412"/>
    <w:lvl w:ilvl="0" w:tplc="D902D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A4B4B"/>
    <w:multiLevelType w:val="hybridMultilevel"/>
    <w:tmpl w:val="9E80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84D4F"/>
    <w:multiLevelType w:val="hybridMultilevel"/>
    <w:tmpl w:val="36FE094A"/>
    <w:lvl w:ilvl="0" w:tplc="D902DA4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471A98"/>
    <w:multiLevelType w:val="hybridMultilevel"/>
    <w:tmpl w:val="565468F0"/>
    <w:lvl w:ilvl="0" w:tplc="567EB432">
      <w:start w:val="1"/>
      <w:numFmt w:val="decimal"/>
      <w:lvlText w:val="%1."/>
      <w:lvlJc w:val="left"/>
      <w:pPr>
        <w:ind w:left="720" w:hanging="360"/>
      </w:pPr>
      <w:rPr>
        <w:rFonts w:hint="default"/>
        <w:b/>
      </w:rPr>
    </w:lvl>
    <w:lvl w:ilvl="1" w:tplc="32400E5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A0DBB"/>
    <w:multiLevelType w:val="hybridMultilevel"/>
    <w:tmpl w:val="001A2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A306D9"/>
    <w:multiLevelType w:val="hybridMultilevel"/>
    <w:tmpl w:val="B740A6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771CC"/>
    <w:multiLevelType w:val="hybridMultilevel"/>
    <w:tmpl w:val="AD9C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E312F"/>
    <w:multiLevelType w:val="hybridMultilevel"/>
    <w:tmpl w:val="12B60E76"/>
    <w:lvl w:ilvl="0" w:tplc="D902DA4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747018"/>
    <w:multiLevelType w:val="hybridMultilevel"/>
    <w:tmpl w:val="FBD01ECE"/>
    <w:lvl w:ilvl="0" w:tplc="0CC400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F505C"/>
    <w:multiLevelType w:val="hybridMultilevel"/>
    <w:tmpl w:val="42FA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907D3"/>
    <w:multiLevelType w:val="hybridMultilevel"/>
    <w:tmpl w:val="BED8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17A15"/>
    <w:multiLevelType w:val="hybridMultilevel"/>
    <w:tmpl w:val="743C9F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902DA4C">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A6224D"/>
    <w:multiLevelType w:val="hybridMultilevel"/>
    <w:tmpl w:val="3052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76729"/>
    <w:multiLevelType w:val="hybridMultilevel"/>
    <w:tmpl w:val="B660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D04A2"/>
    <w:multiLevelType w:val="hybridMultilevel"/>
    <w:tmpl w:val="C286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53ED0"/>
    <w:multiLevelType w:val="hybridMultilevel"/>
    <w:tmpl w:val="F79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4"/>
  </w:num>
  <w:num w:numId="4">
    <w:abstractNumId w:val="5"/>
  </w:num>
  <w:num w:numId="5">
    <w:abstractNumId w:val="12"/>
  </w:num>
  <w:num w:numId="6">
    <w:abstractNumId w:val="18"/>
  </w:num>
  <w:num w:numId="7">
    <w:abstractNumId w:val="16"/>
  </w:num>
  <w:num w:numId="8">
    <w:abstractNumId w:val="0"/>
  </w:num>
  <w:num w:numId="9">
    <w:abstractNumId w:val="6"/>
  </w:num>
  <w:num w:numId="10">
    <w:abstractNumId w:val="21"/>
  </w:num>
  <w:num w:numId="11">
    <w:abstractNumId w:val="14"/>
  </w:num>
  <w:num w:numId="12">
    <w:abstractNumId w:val="9"/>
  </w:num>
  <w:num w:numId="13">
    <w:abstractNumId w:val="22"/>
  </w:num>
  <w:num w:numId="14">
    <w:abstractNumId w:val="23"/>
  </w:num>
  <w:num w:numId="15">
    <w:abstractNumId w:val="20"/>
  </w:num>
  <w:num w:numId="16">
    <w:abstractNumId w:val="3"/>
  </w:num>
  <w:num w:numId="17">
    <w:abstractNumId w:val="19"/>
  </w:num>
  <w:num w:numId="18">
    <w:abstractNumId w:val="10"/>
  </w:num>
  <w:num w:numId="19">
    <w:abstractNumId w:val="15"/>
  </w:num>
  <w:num w:numId="20">
    <w:abstractNumId w:val="1"/>
  </w:num>
  <w:num w:numId="21">
    <w:abstractNumId w:val="7"/>
  </w:num>
  <w:num w:numId="22">
    <w:abstractNumId w:val="8"/>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00"/>
    <w:rsid w:val="00167436"/>
    <w:rsid w:val="00310B00"/>
    <w:rsid w:val="00444C21"/>
    <w:rsid w:val="0049214B"/>
    <w:rsid w:val="004C37F1"/>
    <w:rsid w:val="005D34F7"/>
    <w:rsid w:val="00606B43"/>
    <w:rsid w:val="0063458E"/>
    <w:rsid w:val="006477DC"/>
    <w:rsid w:val="006A6C33"/>
    <w:rsid w:val="006B7D25"/>
    <w:rsid w:val="00733E96"/>
    <w:rsid w:val="00813DD6"/>
    <w:rsid w:val="008D2434"/>
    <w:rsid w:val="00B32EF4"/>
    <w:rsid w:val="00BE02D1"/>
    <w:rsid w:val="00BF7C9D"/>
    <w:rsid w:val="00C66C4A"/>
    <w:rsid w:val="00D53786"/>
    <w:rsid w:val="00DF2554"/>
    <w:rsid w:val="00E45E84"/>
    <w:rsid w:val="00E717F0"/>
    <w:rsid w:val="00F0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8615EC"/>
  <w15:chartTrackingRefBased/>
  <w15:docId w15:val="{40623376-80E3-48B4-A54B-E24B363C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B00"/>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310B00"/>
    <w:rPr>
      <w:color w:val="0563C1" w:themeColor="hyperlink"/>
      <w:u w:val="single"/>
    </w:rPr>
  </w:style>
  <w:style w:type="character" w:styleId="FollowedHyperlink">
    <w:name w:val="FollowedHyperlink"/>
    <w:basedOn w:val="DefaultParagraphFont"/>
    <w:uiPriority w:val="99"/>
    <w:semiHidden/>
    <w:unhideWhenUsed/>
    <w:rsid w:val="00310B00"/>
    <w:rPr>
      <w:color w:val="954F72" w:themeColor="followedHyperlink"/>
      <w:u w:val="single"/>
    </w:rPr>
  </w:style>
  <w:style w:type="paragraph" w:styleId="Header">
    <w:name w:val="header"/>
    <w:basedOn w:val="Normal"/>
    <w:link w:val="HeaderChar"/>
    <w:uiPriority w:val="99"/>
    <w:unhideWhenUsed/>
    <w:rsid w:val="00310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B00"/>
  </w:style>
  <w:style w:type="paragraph" w:styleId="Footer">
    <w:name w:val="footer"/>
    <w:basedOn w:val="Normal"/>
    <w:link w:val="FooterChar"/>
    <w:uiPriority w:val="99"/>
    <w:unhideWhenUsed/>
    <w:rsid w:val="00310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B00"/>
  </w:style>
  <w:style w:type="paragraph" w:styleId="ListParagraph">
    <w:name w:val="List Paragraph"/>
    <w:basedOn w:val="Normal"/>
    <w:uiPriority w:val="34"/>
    <w:qFormat/>
    <w:rsid w:val="00606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patients/clinical-trials-what-patients-need-know/glossary-ter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glossary.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da.gov/" TargetMode="External"/><Relationship Id="rId4" Type="http://schemas.openxmlformats.org/officeDocument/2006/relationships/settings" Target="settings.xml"/><Relationship Id="rId9" Type="http://schemas.openxmlformats.org/officeDocument/2006/relationships/hyperlink" Target="https://www.fda.gov/safety/medwatch/howtoreport/ucm053087.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40354-DE91-432C-9D75-4DB60E88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Christina R Anderson</cp:lastModifiedBy>
  <cp:revision>4</cp:revision>
  <dcterms:created xsi:type="dcterms:W3CDTF">2020-06-17T15:48:00Z</dcterms:created>
  <dcterms:modified xsi:type="dcterms:W3CDTF">2022-02-04T22:34:00Z</dcterms:modified>
</cp:coreProperties>
</file>